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Data"/>
      </w:pPr>
      <w:r>
        <w:t xml:space="preserve">Informacja prasowa   ·   19 października 2026</w:t>
      </w:r>
    </w:p>
    <w:p>
      <w:pPr>
        <w:pStyle w:val="Heading1"/>
      </w:pPr>
      <w:r>
        <w:t xml:space="preserve">Ponad 3200 książek, map i archiwaliów w Bibliotece kajakarza</w:t>
      </w:r>
    </w:p>
    <w:p>
      <w:pPr>
        <w:pStyle w:val="Lead"/>
      </w:pPr>
      <w:r>
        <w:t xml:space="preserve">Biblioteka kajakarza, dostępna na stanwody.org, to otwarty katalog materiałów rozproszonych dotąd między bibliotekami, archiwami i muzeami.</w:t>
      </w:r>
    </w:p>
    <w:p>
      <w:r>
        <w:t xml:space="preserve">Ponad 3200 książek o kajakach, map szlaków kajakowych, przewodników, plakatów, fotografii archiwalnych i dokumentów dotyczących polskich rzek oraz kajakarstwa zebrano w Bibliotece kajakarza. Cyfrowy katalog pozwala odkrywać publikacje o historii kajakarstwa w Polsce, poznawać dawne szlaki wodne i docierać do materiałów dokumentujących rozwój turystyki kajakowej.</w:t>
      </w:r>
    </w:p>
    <w:p>
      <w:r>
        <w:t xml:space="preserve">W październiku 2026 roku uruchomiliśmy Bibliotekę kajakarza. Zawiera 3202 pozycje dotyczące polskich wód i sportów wodnych. Każda zawiera link do instytucji, która przechowuje oryginał: biblioteki, archiwum albo muzeum.</w:t>
      </w:r>
    </w:p>
    <w:p>
      <w:r>
        <w:t xml:space="preserve">Ponad 1800 pozycji to jednostki archiwalne z kilkudziesięciu archiwów, wyszukane w serwisie Szukaj w Archiwach. Prawie 1200 rekordów pochodzi z katalogu Biblioteki Narodowej, a 170 obiektów przechowują muzea i biblioteki cyfrowe, od Muzeum Narodowego w Warszawie po Muzeum Fotografii w Krakowie. Do ponad 700 pozycji na podstawie istniejących źródeł przygotowaliśmy krótkie opisy po polsku i po angielsku.</w:t>
      </w:r>
    </w:p>
    <w:p>
      <w:r>
        <w:t xml:space="preserve">Biblioteka jest dostępna pod adresem stanwody.org/biblioteka-kajakarza, w wersji polskiej i angielskiej. Można ją przeszukiwać według rzeki lub jeziora, okresu i tematu. Z niej pochodzą liczby podane w tym materiale.</w:t>
      </w:r>
    </w:p>
    <w:tbl>
      <w:tblPr>
        <w:tblStyle w:val="Normal"/>
        <w:tblW w:w="0" w:type="auto"/>
        <w:tblBorders>
          <w:top w:val="single" w:sz="4" w:color="D9D9D9"/>
          <w:bottom w:val="single" w:sz="4" w:color="D9D9D9"/>
          <w:insideH w:val="single" w:sz="4" w:color="D9D9D9"/>
        </w:tblBorders>
      </w:tblPr>
      <w:tr>
        <w:tc>
          <w:tcPr>
            <w:tcW w:w="4400" w:type="dxa"/>
          </w:tcPr>
          <w:p>
            <w:r>
              <w:rPr>
                <w:b/>
              </w:rPr>
              <w:t xml:space="preserve">Co jest w Bibliotece</w:t>
            </w:r>
          </w:p>
        </w:tc>
        <w:tc>
          <w:tcPr>
            <w:tcW w:w="4400" w:type="dxa"/>
          </w:tcPr>
          <w:p>
            <w:r>
              <w:rPr>
                <w:b/>
              </w:rPr>
              <w:t xml:space="preserve">Pozycji</w:t>
            </w:r>
          </w:p>
        </w:tc>
      </w:tr>
      <w:tr>
        <w:tc>
          <w:tcPr>
            <w:tcW w:w="4400" w:type="dxa"/>
          </w:tcPr>
          <w:p>
            <w:r>
              <w:t xml:space="preserve">książki i przewodniki</w:t>
            </w:r>
          </w:p>
        </w:tc>
        <w:tc>
          <w:tcPr>
            <w:tcW w:w="4400" w:type="dxa"/>
          </w:tcPr>
          <w:p>
            <w:r>
              <w:t xml:space="preserve">585</w:t>
            </w:r>
          </w:p>
        </w:tc>
      </w:tr>
      <w:tr>
        <w:tc>
          <w:tcPr>
            <w:tcW w:w="4400" w:type="dxa"/>
          </w:tcPr>
          <w:p>
            <w:r>
              <w:t xml:space="preserve">mapy</w:t>
            </w:r>
          </w:p>
        </w:tc>
        <w:tc>
          <w:tcPr>
            <w:tcW w:w="4400" w:type="dxa"/>
          </w:tcPr>
          <w:p>
            <w:r>
              <w:t xml:space="preserve">238</w:t>
            </w:r>
          </w:p>
        </w:tc>
      </w:tr>
      <w:tr>
        <w:tc>
          <w:tcPr>
            <w:tcW w:w="4400" w:type="dxa"/>
          </w:tcPr>
          <w:p>
            <w:r>
              <w:t xml:space="preserve">czasopisma i artykuły</w:t>
            </w:r>
          </w:p>
        </w:tc>
        <w:tc>
          <w:tcPr>
            <w:tcW w:w="4400" w:type="dxa"/>
          </w:tcPr>
          <w:p>
            <w:r>
              <w:t xml:space="preserve">165</w:t>
            </w:r>
          </w:p>
        </w:tc>
      </w:tr>
      <w:tr>
        <w:tc>
          <w:tcPr>
            <w:tcW w:w="4400" w:type="dxa"/>
          </w:tcPr>
          <w:p>
            <w:r>
              <w:t xml:space="preserve">druki, fotografie i archiwalia</w:t>
            </w:r>
          </w:p>
        </w:tc>
        <w:tc>
          <w:tcPr>
            <w:tcW w:w="4400" w:type="dxa"/>
          </w:tcPr>
          <w:p>
            <w:r>
              <w:t xml:space="preserve">2214</w:t>
            </w:r>
          </w:p>
        </w:tc>
      </w:tr>
    </w:tbl>
    <w:p/>
    <w:p>
      <w:r>
        <w:t xml:space="preserve">Na co dzień opisujemy na stanwody.org rzeki, jeziora i szlaki kajakowe. Źródła do tych tekstów są rozproszone: książki stoją w Bibliotece Narodowej, plany przystani i zdjęcia ze spływów leżą w archiwach państwowych, a plakaty i medale – w muzeach. Biblioteka kajakarza zbiera informacje o nich w jednym miejscu.</w:t>
      </w:r>
    </w:p>
    <w:p>
      <w:pPr>
        <w:pStyle w:val="Heading2"/>
      </w:pPr>
      <w:r>
        <w:t xml:space="preserve">W dwudziestoleciu międzywojennym mieliśmy 10 tysięcy kajaków!</w:t>
      </w:r>
    </w:p>
    <w:p>
      <w:r>
        <w:t xml:space="preserve">Najstarsza pozycja w Bibliotece to „Łódź i wiosło”, podręcznik dla wioślarzy z 1883 roku, podpisany przez naczelnika przystani Warszawskiego Towarzystwa Wioślarskiego. Książki o kajakach pojawiły się blisko pół wieku później. Biblioteka zawiera 27 tytułów kajakowych z lat 30., w tym 11 instrukcji budowy kajaka. Prawie połowę z nich wydała Główna Księgarnia Wojskowa.</w:t>
      </w:r>
    </w:p>
    <w:p>
      <w:r>
        <w:t xml:space="preserve">Antoni Heinrich, autor oficjalnego przewodnika związku kajakowego, przedmowę do swojej „Budowy kajaków” zaczął od liczby.</w:t>
      </w:r>
    </w:p>
    <w:p>
      <w:pPr>
        <w:pStyle w:val="Cytat"/>
      </w:pPr>
      <w:r>
        <w:t xml:space="preserve">„Ilość kajaków w Polsce oblicza się zgrubsza na 10.000. Znakomita większość, to wyroby domowe, urągające elementarnym wymaganiom konstrukcji”.</w:t>
      </w:r>
    </w:p>
    <w:p>
      <w:pPr>
        <w:pStyle w:val="Podpis"/>
      </w:pPr>
      <w:r>
        <w:t xml:space="preserve">Antoni Heinrich, „Budowa kajaków”, Główna Księgarnia Wojskowa, Warszawa 1933, przedmowa. Skan: Polona, Biblioteka Narodowa</w:t>
      </w:r>
    </w:p>
    <w:p>
      <w:r>
        <w:t xml:space="preserve">Polski Związek Kajakowców, jak pisał Heinrich, za jedno z głównych zadań uznał „kwestję uporządkowania tego chaosu”.</w:t>
      </w:r>
    </w:p>
    <w:p>
      <w:r>
        <w:t xml:space="preserve">Kajak można było też kupić. W przewodniku Pierwszej Ogólno-Krajowej Wystawy Kajakowej, wydrukowanym w 1933 roku w nakładzie 10 tysięcy egzemplarzy, Mazowieckie Warsztaty Szkutnicze z Płocka reklamowały kajak „typ Płocki” z dykty za 85 złotych z wiosłami i „Rekina I” za 175 złotych.</w:t>
      </w:r>
    </w:p>
    <w:p>
      <w:r>
        <w:t xml:space="preserve">Według szacunku Głównego Urzędu Statystycznego robotnik zarabiał w 1933 roku przeciętnie 24,3 złotego tygodniowo. „Typ Płocki” kosztował więc trzy i pół tygodniówki, a „Rekin I” ponad siedem. Przy dzisiejszym przeciętnym wynagrodzeniu to około 7 tysięcy i 15 tysięcy złotych.</w:t>
      </w:r>
    </w:p>
    <w:p>
      <w:r>
        <w:t xml:space="preserve">Obok książek o budowie kajaków pojawiły się przewodniki. Oficjalny przewodnik związku „Szlaki wodne Polski”, napisany przez Heinricha, opisywał w 1932 roku 114 szlaków. W drugim wydaniu, z 1935 roku, było ich już 187.</w:t>
      </w:r>
    </w:p>
    <w:p>
      <w:r>
        <w:t xml:space="preserve">Maria Podhorska-Okołów opisała w 1935 roku 60 wycieczek kajakowych z Warszawy. Przy każdej trasie podała kilometraż, przeszkody i dojazd, a nawet ceny furmanek. Recenzent „Sportu Wodnego” zaznaczył jeszcze jedno:</w:t>
      </w:r>
    </w:p>
    <w:p>
      <w:pPr>
        <w:pStyle w:val="Cytat"/>
      </w:pPr>
      <w:r>
        <w:t xml:space="preserve">„Wszystkie opisane szlaki autorka przebyła na wiośle sama”.</w:t>
      </w:r>
    </w:p>
    <w:p>
      <w:pPr>
        <w:pStyle w:val="Podpis"/>
      </w:pPr>
      <w:r>
        <w:t xml:space="preserve">Recenzja przewodnika „Kajakiem z Warszawy”, „Sport Wodny” 1935, nr 10. Skan: Pomorska Biblioteka Cyfrowa</w:t>
      </w:r>
    </w:p>
    <w:p>
      <w:pPr>
        <w:pStyle w:val="Heading2"/>
      </w:pPr>
      <w:r>
        <w:t xml:space="preserve">Wydawnictwo „Sport i Turystyka”</w:t>
      </w:r>
    </w:p>
    <w:p>
      <w:r>
        <w:t xml:space="preserve">Po wojnie książki o kajakach i mapy szlaków wydawało przede wszystkim wydawnictwo „Sport i Turystyka”. W latach 50. wydało 50 z 72 wydanych wówczas książek i map o wodach, które są w Bibliotece. W samym 1953 roku ukazało się pięć jego tytułów: „Kajakarstwo” Wacława Trębickiego oraz przewodniki „Kajakiem po rzekach Mazowsza”, „Kajakiem z biegiem Noteci”, „Kajakiem po jeziorach augustowskich i suwalskich” i „Kajakiem po wodach województwa bydgoskiego”.</w:t>
      </w:r>
    </w:p>
    <w:p>
      <w:r>
        <w:t xml:space="preserve">W kolejnych dekadach udział wydawnictwa „Sport i Turystyka” w rynku malał. W latach 80. wydało 25 z 72 książek i map. Mapy wydawały też Państwowe Przedsiębiorstwo Wydawnictw Kartograficznych i Wydawnictwo PTTK „Kraj”.</w:t>
      </w:r>
    </w:p>
    <w:p>
      <w:r>
        <w:t xml:space="preserve">W tomaszowskim oddziale Archiwum Państwowego w Piotrkowie Trybunalskim zachowała się dokumentacja produkcji kajaka składanego „Neptun” w Zakładach Sprzętu Domowego i Turystycznego: karty chronometrażowe z lat 1961–1970 dla lakierni, szwalni i robót ślusarskich oraz procesy technologiczne.</w:t>
      </w:r>
    </w:p>
    <w:p>
      <w:r>
        <w:t xml:space="preserve">Archiwum Akt Nowych przechowuje akta Polskiego Związku Kajakowego z zespołu Głównego Komitetu Kultury Fizycznej i Turystyki, w tym kalendarze imprez z lat 60. i akta kontroli związku.</w:t>
      </w:r>
    </w:p>
    <w:p>
      <w:pPr>
        <w:pStyle w:val="Heading2"/>
      </w:pPr>
      <w:r>
        <w:t xml:space="preserve">Po 1990 roku wydawców jest prawie 100</w:t>
      </w:r>
    </w:p>
    <w:p>
      <w:r>
        <w:t xml:space="preserve">Ostatnia ze 136 pozycji wydawnictwa „Sport i Turystyka” w Bibliotece pochodzi z 1991 roku.</w:t>
      </w:r>
    </w:p>
    <w:p>
      <w:r>
        <w:t xml:space="preserve">W latach 90. książki i mapy o polskich wodach wydawało 51 wydawców, a w pierwszej dekadzie XXI wieku – już 99. Z tego drugiego okresu pochodzi najwięcej publikacji zgromadzonych w Bibliotece kajakarza: 173 książki i mapy.</w:t>
      </w:r>
    </w:p>
    <w:p>
      <w:r>
        <w:t xml:space="preserve">Wśród wydawców przybyło samorządów, organizacji turystycznych, stowarzyszeń i fundacji. Od 2010 roku wydały co piątą książkę lub mapę z Biblioteki. W latach 1950–1999 takich pozycji były cztery.</w:t>
      </w:r>
    </w:p>
    <w:p>
      <w:r>
        <w:t xml:space="preserve">Śląska Organizacja Turystyczna wydała w latach 2020–2025 osiem map rzek województwa śląskiego, od Warty i Liswarty po Olzę.</w:t>
      </w:r>
    </w:p>
    <w:p>
      <w:pPr>
        <w:pStyle w:val="Heading2"/>
      </w:pPr>
      <w:r>
        <w:t xml:space="preserve">Najwięcej o Dunajcu</w:t>
      </w:r>
    </w:p>
    <w:p>
      <w:r>
        <w:t xml:space="preserve">Najwięcej pozycji w Bibliotece dotyczy Dunajca: 188. To głównie zdjęcia i akta, w dużej części związane ze spływem flisackim przełomem Dunajca. Są wśród nich akta inspekcji łodzi flisackich w Czorsztynie i protokoły egzaminów na flisaka. Kolejne miejsca zajmują Brda z 69 pozycjami i Krutynia z 62.</w:t>
      </w:r>
    </w:p>
    <w:p>
      <w:pPr>
        <w:pStyle w:val="Heading2"/>
      </w:pPr>
      <w:r>
        <w:t xml:space="preserve">Skąd to wiemy</w:t>
      </w:r>
    </w:p>
    <w:p>
      <w:pPr>
        <w:pStyle w:val="Heading2"/>
      </w:pPr>
      <w:r>
        <w:t xml:space="preserve">Źródła</w:t>
      </w:r>
    </w:p>
    <w:p>
      <w:pPr>
        <w:pStyle w:val="ListParagraph"/>
        <w:numPr>
          <w:ilvl w:val="0"/>
          <w:numId w:val="1"/>
        </w:numPr>
      </w:pPr>
      <w:r>
        <w:t xml:space="preserve">Biblioteka kajakarza, stanwody.org/biblioteka-kajakarza, stan na 19 października 2026 – wszystkie liczby, wykres i tabele.</w:t>
      </w:r>
    </w:p>
    <w:p>
      <w:pPr>
        <w:pStyle w:val="ListParagraph"/>
        <w:numPr>
          <w:ilvl w:val="0"/>
          <w:numId w:val="1"/>
        </w:numPr>
      </w:pPr>
      <w:r>
        <w:t xml:space="preserve">Katalog Biblioteki Narodowej (data.bn.org.pl) – rekordy książek, map i czasopism, w tym rok wydania i wydawca.</w:t>
      </w:r>
    </w:p>
    <w:p>
      <w:pPr>
        <w:pStyle w:val="ListParagraph"/>
        <w:numPr>
          <w:ilvl w:val="0"/>
          <w:numId w:val="1"/>
        </w:numPr>
      </w:pPr>
      <w:r>
        <w:t xml:space="preserve">Szukaj w Archiwach (szukajwarchiwach.gov.pl) – jednostki archiwalne, m.in. z Archiwum Akt Nowych, Archiwum Narodowego w Krakowie i Archiwum Państwowego w Piotrkowie Trybunalskim Oddział w Tomaszowie Mazowieckim.</w:t>
      </w:r>
    </w:p>
    <w:p>
      <w:pPr>
        <w:pStyle w:val="ListParagraph"/>
        <w:numPr>
          <w:ilvl w:val="0"/>
          <w:numId w:val="1"/>
        </w:numPr>
      </w:pPr>
      <w:r>
        <w:t xml:space="preserve">Antoni Heinrich, „Budowa kajaków”, Główna Księgarnia Wojskowa, Warszawa 1933 – przedmowa. Skan: Polona.</w:t>
      </w:r>
    </w:p>
    <w:p>
      <w:pPr>
        <w:pStyle w:val="ListParagraph"/>
        <w:numPr>
          <w:ilvl w:val="0"/>
          <w:numId w:val="1"/>
        </w:numPr>
      </w:pPr>
      <w:r>
        <w:t xml:space="preserve">„Sport Wodny” 1934, nr 22 (o drugim wydaniu „Szlaków wodnych Polski”) i 1935, nr 10 (recenzja „Kajakiem z Warszawy”). Skany: Pomorska Biblioteka Cyfrowa.</w:t>
      </w:r>
    </w:p>
    <w:p>
      <w:pPr>
        <w:pStyle w:val="ListParagraph"/>
        <w:numPr>
          <w:ilvl w:val="0"/>
          <w:numId w:val="1"/>
        </w:numPr>
      </w:pPr>
      <w:r>
        <w:t xml:space="preserve">Przewodnik Pierwszej Ogólno-Krajowej Wystawy Kajakowej, Turystyki Wodnej i Wioślarstwa, Warszawa 1933 – nakład i reklamy kajaków. Skan: Polona.</w:t>
      </w:r>
    </w:p>
    <w:p>
      <w:pPr>
        <w:pStyle w:val="ListParagraph"/>
        <w:numPr>
          <w:ilvl w:val="0"/>
          <w:numId w:val="1"/>
        </w:numPr>
      </w:pPr>
      <w:r>
        <w:t xml:space="preserve">Mały Rocznik Statystyczny 1935, Główny Urząd Statystyczny – tabele cen chleba i tygodniowych zarobków robotników. Skan: Internet Archive, kopia RCIN.</w:t>
      </w:r>
    </w:p>
    <w:p>
      <w:pPr>
        <w:pStyle w:val="ListParagraph"/>
        <w:numPr>
          <w:ilvl w:val="0"/>
          <w:numId w:val="1"/>
        </w:numPr>
      </w:pPr>
      <w:r>
        <w:t xml:space="preserve">Główny Urząd Statystyczny: komunikat w sprawie przeciętnego wynagrodzenia w gospodarce narodowej w 2025 roku i Bank Danych Lokalnych (przeciętna cena chleba pszenno-żytniego w 2025 roku).</w:t>
      </w:r>
    </w:p>
    <w:p>
      <w:pPr>
        <w:pStyle w:val="ListParagraph"/>
        <w:numPr>
          <w:ilvl w:val="0"/>
          <w:numId w:val="1"/>
        </w:numPr>
      </w:pPr>
      <w:r>
        <w:t xml:space="preserve">Zdjęcia: Muzeum Fotografii w Krakowie, katalog on-line, wszystkie w domenie publicznej.</w:t>
      </w:r>
    </w:p>
    <w:p>
      <w:pPr>
        <w:pStyle w:val="Heading2"/>
      </w:pPr>
      <w:r>
        <w:t xml:space="preserve">Zastrzeżenia</w:t>
      </w:r>
    </w:p>
    <w:p>
      <w:pPr>
        <w:pStyle w:val="ListParagraph"/>
        <w:numPr>
          <w:ilvl w:val="0"/>
          <w:numId w:val="1"/>
        </w:numPr>
      </w:pPr>
      <w:r>
        <w:t xml:space="preserve">Biblioteka jest spisem tematycznym, nie pełną bibliografią. Liczby mówią o tym, co w niej jest, a nie o wszystkim, co wydano w Polsce.</w:t>
      </w:r>
    </w:p>
    <w:p>
      <w:pPr>
        <w:pStyle w:val="ListParagraph"/>
        <w:numPr>
          <w:ilvl w:val="0"/>
          <w:numId w:val="1"/>
        </w:numPr>
      </w:pPr>
      <w:r>
        <w:t xml:space="preserve">Wydawców liczyliśmy według nazw w rekordach katalogowych. Ten sam wydawca zapisany na dwa sposoby mógł zostać policzony dwa razy.</w:t>
      </w:r>
    </w:p>
    <w:p>
      <w:pPr>
        <w:pStyle w:val="ListParagraph"/>
        <w:numPr>
          <w:ilvl w:val="0"/>
          <w:numId w:val="1"/>
        </w:numPr>
      </w:pPr>
      <w:r>
        <w:t xml:space="preserve">Wykres pomija 19 książek i map o nieustalonym roku wydania.</w:t>
      </w:r>
    </w:p>
    <w:p>
      <w:pPr>
        <w:pStyle w:val="ListParagraph"/>
        <w:numPr>
          <w:ilvl w:val="0"/>
          <w:numId w:val="1"/>
        </w:numPr>
      </w:pPr>
      <w:r>
        <w:t xml:space="preserve">Serie jednostek archiwalnych o tym samym tytule pokazujemy w Bibliotece jako jedną kartę.</w:t>
      </w:r>
    </w:p>
    <w:p>
      <w:pPr>
        <w:pStyle w:val="ListParagraph"/>
        <w:numPr>
          <w:ilvl w:val="0"/>
          <w:numId w:val="1"/>
        </w:numPr>
      </w:pPr>
      <w:r>
        <w:t xml:space="preserve">Ceny kajaków przeliczyliśmy przez płace. Zarobek z 1933 roku to szacunek GUS dla wszystkich robotników, także chałupników i zatrudnionych przy robotach publicznych. Dzisiejsze wynagrodzenie to przeciętna płaca brutto w gospodarce narodowej w 2025 roku: 8903,56 zł miesięcznie. Dawnych zarobków i dzisiejszych płac nie liczono tak samo, dlatego wynik jest przybliżony.</w:t>
      </w:r>
    </w:p>
    <w:p>
      <w:pPr>
        <w:pStyle w:val="ListParagraph"/>
        <w:numPr>
          <w:ilvl w:val="0"/>
          <w:numId w:val="1"/>
        </w:numPr>
      </w:pPr>
      <w:r>
        <w:t xml:space="preserve">Liczone ceną chleba wychodzi prawie trzy razy taniej, bo chleb względem płac bardzo potaniał. W 1933 roku kilogram chleba żytniego kosztował w Warszawie 35 groszy, a w 2025 roku pół kilograma chleba pszenno-żytniego kosztowało przeciętnie 5,38 zł.</w:t>
      </w:r>
    </w:p>
    <w:p>
      <w:pPr>
        <w:pStyle w:val="ListParagraph"/>
        <w:numPr>
          <w:ilvl w:val="0"/>
          <w:numId w:val="1"/>
        </w:numPr>
      </w:pPr>
      <w:r>
        <w:t xml:space="preserve">Biblioteka nie obejmuje żeglarstwa.</w:t>
      </w:r>
    </w:p>
    <w:p>
      <w:pPr>
        <w:pStyle w:val="Heading2"/>
      </w:pPr>
      <w:r>
        <w:t xml:space="preserve">Materiały do pobrania</w:t>
      </w:r>
    </w:p>
    <w:p>
      <w:r>
        <w:t xml:space="preserve">Zdjęcia, wykres w PNG z przezroczystym tłem i dane w CSV: stanwody.org, materiał o Bibliotece kajakarza. Każdy plik ma podpis z autorem i licencją.</w:t>
      </w:r>
    </w:p>
    <w:p>
      <w:pPr>
        <w:pStyle w:val="Heading2"/>
      </w:pPr>
      <w:r>
        <w:t xml:space="preserve">Kontakt dla mediów</w:t>
      </w:r>
    </w:p>
    <w:p>
      <w:r>
        <w:t xml:space="preserve">Karol Kwiatkowski, twórca projektu Stan Wody, czesc@stanwody.org. Biblioteka kajakarza: stanwody.org/biblioteka-kajakarza. Materiały i dane do wszystkich opracowań udostępniamy redakcjom na życzenie.</w:t>
      </w:r>
    </w:p>
    <w:sectPr>
      <w:pgSz w:w="11906" w:h="16838"/>
      <w:pgMar w:top="1418" w:right="1418" w:bottom="1418" w:left="1418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b w:val="0"/>
        <w:i w:val="0"/>
        <w:sz w:val="22"/>
        <w:szCs w:val="22"/>
        <w:color w:val="1A1A1A"/>
      </w:rPr>
    </w:rPrDefault>
    <w:pPrDefault>
      <w:pPr>
        <w:spacing w:after="180" w:line="276" w:lineRule="auto"/>
      </w:pPr>
    </w:pPrDefault>
  </w:docDefaults>
  <w:style w:type="paragraph" w:default="1" w:styleId="Normal">
    <w:name w:val="Normal"/>
    <w:qFormat/>
    <w:pPr>
      <w:spacing w:after="180" w:line="276" w:lineRule="auto"/>
    </w:pPr>
    <w:rPr>
      <w:rFonts w:ascii="Calibri" w:hAnsi="Calibri" w:cs="Calibri" w:eastAsia="Calibri"/>
      <w:b w:val="0"/>
      <w:sz w:val="22"/>
      <w:color w:val="1A1A1A"/>
    </w:rPr>
  </w:style>
  <w:style w:type="paragraph" w:styleId="Data">
    <w:name w:val="Data"/>
    <w:basedOn w:val="Normal"/>
    <w:pPr>
      <w:spacing w:after="260"/>
    </w:pPr>
    <w:rPr>
      <w:rFonts w:ascii="Calibri" w:hAnsi="Calibri" w:cs="Calibri" w:eastAsia="Calibri"/>
      <w:b w:val="0"/>
      <w:caps/>
      <w:sz w:val="17"/>
      <w:color w:val="6B6355"/>
    </w:rPr>
  </w:style>
  <w:style w:type="paragraph" w:styleId="Heading1">
    <w:name w:val="heading 1"/>
    <w:basedOn w:val="Normal"/>
    <w:qFormat/>
    <w:pPr>
      <w:spacing w:before="0" w:after="220"/>
      <w:outlineLvl w:val="0"/>
    </w:pPr>
    <w:rPr>
      <w:rFonts w:ascii="Calibri" w:hAnsi="Calibri" w:cs="Calibri" w:eastAsia="Calibri"/>
      <w:b/>
      <w:sz w:val="34"/>
      <w:color w:val="12263A"/>
    </w:rPr>
  </w:style>
  <w:style w:type="paragraph" w:styleId="Lead">
    <w:name w:val="Lead"/>
    <w:basedOn w:val="Normal"/>
    <w:pPr>
      <w:spacing w:after="300"/>
    </w:pPr>
    <w:rPr>
      <w:rFonts w:ascii="Calibri" w:hAnsi="Calibri" w:cs="Calibri" w:eastAsia="Calibri"/>
      <w:b w:val="0"/>
      <w:sz w:val="25"/>
      <w:color w:val="3A4A55"/>
    </w:rPr>
  </w:style>
  <w:style w:type="paragraph" w:styleId="Heading2">
    <w:name w:val="heading 2"/>
    <w:basedOn w:val="Normal"/>
    <w:qFormat/>
    <w:pPr>
      <w:spacing w:before="400" w:after="150"/>
      <w:outlineLvl w:val="1"/>
    </w:pPr>
    <w:rPr>
      <w:rFonts w:ascii="Calibri" w:hAnsi="Calibri" w:cs="Calibri" w:eastAsia="Calibri"/>
      <w:b/>
      <w:sz w:val="25"/>
      <w:color w:val="165A72"/>
    </w:rPr>
  </w:style>
  <w:style w:type="paragraph" w:styleId="Cytat">
    <w:name w:val="Cytat"/>
    <w:basedOn w:val="Normal"/>
    <w:pPr>
      <w:ind w:left="454"/>
      <w:spacing w:before="220" w:after="110"/>
    </w:pPr>
    <w:rPr>
      <w:rFonts w:ascii="Calibri" w:hAnsi="Calibri" w:cs="Calibri" w:eastAsia="Calibri"/>
      <w:b w:val="0"/>
      <w:i/>
    </w:rPr>
  </w:style>
  <w:style w:type="paragraph" w:styleId="Podpis">
    <w:name w:val="Podpis"/>
    <w:basedOn w:val="Normal"/>
    <w:pPr>
      <w:ind w:left="454"/>
      <w:spacing w:after="280"/>
    </w:pPr>
    <w:rPr>
      <w:rFonts w:ascii="Calibri" w:hAnsi="Calibri" w:cs="Calibri" w:eastAsia="Calibri"/>
      <w:b w:val="0"/>
      <w:sz w:val="19"/>
      <w:color w:val="6B6355"/>
    </w:rPr>
  </w:style>
  <w:style w:type="paragraph" w:styleId="ListParagraph">
    <w:name w:val="List Paragraph"/>
    <w:basedOn w:val="Normal"/>
    <w:qFormat/>
    <w:pPr>
      <w:spacing w:after="100"/>
      <w:contextualSpacing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