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Data"/>
      </w:pPr>
      <w:r>
        <w:t xml:space="preserve">Informacja prasowa   ·   20 października 2026</w:t>
      </w:r>
    </w:p>
    <w:p>
      <w:pPr>
        <w:pStyle w:val="Heading1"/>
      </w:pPr>
      <w:r>
        <w:t xml:space="preserve">Wodnik, topielec i panna wodna. Mieszkańcy polskich rzek</w:t>
      </w:r>
    </w:p>
    <w:p>
      <w:pPr>
        <w:pStyle w:val="Lead"/>
      </w:pPr>
      <w:r>
        <w:t xml:space="preserve">Materiał etnograficzny o tych, którzy całkiem nie odeszli. Kim był topielec, dlaczego świtezianka nie pochodzi z polskiego folkloru i co ludowy zakaz kąpieli przed świętym Janem miał wspólnego z temperaturą wody.</w:t>
      </w:r>
    </w:p>
    <w:p>
      <w:pPr>
        <w:pStyle w:val="Heading2"/>
      </w:pPr>
      <w:r>
        <w:t xml:space="preserve">Topielec: umarły, nie bóstwo</w:t>
      </w:r>
    </w:p>
    <w:p>
      <w:r>
        <w:t xml:space="preserve">Postacią wodną numer jeden w polskiej demonologii ludowej był topielec, zwany też utopcem. Setki relacji o nim zapisano w dziewiętnasto- i dwudziestowiecznych zbiorach etnograficznych, a wiara w niego trzymała się na wsi jeszcze przez pierwsze dekady po drugiej wojnie światowej.</w:t>
      </w:r>
    </w:p>
    <w:p>
      <w:r>
        <w:t xml:space="preserve">Nie był bóstwem wody ani duchem przyrody. Był umarłym. Topielcami zostawały dusze ludzi, którzy utonęli, a przede wszystkim tych, których śmierć uznawano za nieczystą: samobójców, nieochrzczonych niemowląt, ludzi „o dwóch duszach". Ta genealogia tłumaczy całą resztę. Opowieść o topielcu była opowieścią o kimś, kto naprawdę zginął, i o miejscu, w którym to się stało.</w:t>
      </w:r>
    </w:p>
    <w:p>
      <w:r>
        <w:t xml:space="preserve">Wyglądał różnie zależnie od regionu. Bywał dzieckiem w wieku od trzech do dziewięciu lat, z wielką głową, ciemną skórą i splątanymi włosami. Bywał dorosłym mężczyzną w czarnej kapocie, z brodą do pasa. Powtarzały się dwa szczegóły: coś czerwonego w ubraniu – czapka, wstążka, pas – i woda kapiąca z odzieży nawet wtedy, gdy szedł po suchym.</w:t>
      </w:r>
    </w:p>
    <w:p>
      <w:r>
        <w:t xml:space="preserve">Miał też drugą twarz, o której pamięta się rzadziej. Potrafił ostrzegać, pomagać, pożyczać pieniądze. Bywało, że przyjmowano go we wsi jak sąsiada, z którym trzeba umieć postępować. W tej wyobraźni woda nie była wrogiem – była żywiołem o własnym charakterze, jak koń albo ogień.</w:t>
      </w:r>
    </w:p>
    <w:p>
      <w:pPr>
        <w:pStyle w:val="Heading2"/>
      </w:pPr>
      <w:r>
        <w:t xml:space="preserve">Jedna postać, kilkadziesiąt imion</w:t>
      </w:r>
    </w:p>
    <w:p>
      <w:r>
        <w:t xml:space="preserve">Demonologia ludowa nie była systemem. To mozaika lokalnych tradycji o wspólnych motywach, w której ta sama postać w sąsiednich wsiach nosiła inne imię i miała inne zwyczaje. Nazwy same w sobie są mapą: zapożyczenia niemieckie trzymają się Śląska i Pomorza, formy od „topić" i „płynąć" ciągną się przez Polskę centralną, a każdy demon męski miał swój żeński odpowiednik.</w:t>
      </w:r>
    </w:p>
    <w:tbl>
      <w:tblPr>
        <w:tblStyle w:val="Normal"/>
        <w:tblW w:w="0" w:type="auto"/>
        <w:tblBorders>
          <w:top w:val="single" w:sz="4" w:color="D9D9D9"/>
          <w:bottom w:val="single" w:sz="4" w:color="D9D9D9"/>
          <w:insideH w:val="single" w:sz="4" w:color="D9D9D9"/>
        </w:tblBorders>
      </w:tblPr>
      <w:tr>
        <w:tc>
          <w:tcPr>
            <w:tcW w:w="4400" w:type="dxa"/>
          </w:tcPr>
          <w:p>
            <w:r>
              <w:rPr>
                <w:b/>
              </w:rPr>
              <w:t xml:space="preserve">Nazwa</w:t>
            </w:r>
          </w:p>
        </w:tc>
        <w:tc>
          <w:tcPr>
            <w:tcW w:w="4400" w:type="dxa"/>
          </w:tcPr>
          <w:p>
            <w:r>
              <w:rPr>
                <w:b/>
              </w:rPr>
              <w:t xml:space="preserve">Skąd pochodzi, co znaczy</w:t>
            </w:r>
          </w:p>
        </w:tc>
      </w:tr>
      <w:tr>
        <w:tc>
          <w:tcPr>
            <w:tcW w:w="4400" w:type="dxa"/>
          </w:tcPr>
          <w:p>
            <w:r>
              <w:t xml:space="preserve">utopiec, utopce</w:t>
            </w:r>
          </w:p>
        </w:tc>
        <w:tc>
          <w:tcPr>
            <w:tcW w:w="4400" w:type="dxa"/>
          </w:tcPr>
          <w:p>
            <w:r>
              <w:t xml:space="preserve">Śląsk – tradycja najbogatsza, osobne opowieści dla poszczególnych stawów</w:t>
            </w:r>
          </w:p>
        </w:tc>
      </w:tr>
      <w:tr>
        <w:tc>
          <w:tcPr>
            <w:tcW w:w="4400" w:type="dxa"/>
          </w:tcPr>
          <w:p>
            <w:r>
              <w:t xml:space="preserve">wasermann, hasermann</w:t>
            </w:r>
          </w:p>
        </w:tc>
        <w:tc>
          <w:tcPr>
            <w:tcW w:w="4400" w:type="dxa"/>
          </w:tcPr>
          <w:p>
            <w:r>
              <w:t xml:space="preserve">zapożyczenie niemieckie, Śląsk i Pomorze</w:t>
            </w:r>
          </w:p>
        </w:tc>
      </w:tr>
      <w:tr>
        <w:tc>
          <w:tcPr>
            <w:tcW w:w="4400" w:type="dxa"/>
          </w:tcPr>
          <w:p>
            <w:r>
              <w:t xml:space="preserve">topich, topnik, potopiciel</w:t>
            </w:r>
          </w:p>
        </w:tc>
        <w:tc>
          <w:tcPr>
            <w:tcW w:w="4400" w:type="dxa"/>
          </w:tcPr>
          <w:p>
            <w:r>
              <w:t xml:space="preserve">formy rodzime od „topić", notowane w wielu regionach</w:t>
            </w:r>
          </w:p>
        </w:tc>
      </w:tr>
      <w:tr>
        <w:tc>
          <w:tcPr>
            <w:tcW w:w="4400" w:type="dxa"/>
          </w:tcPr>
          <w:p>
            <w:r>
              <w:t xml:space="preserve">płynnik</w:t>
            </w:r>
          </w:p>
        </w:tc>
        <w:tc>
          <w:tcPr>
            <w:tcW w:w="4400" w:type="dxa"/>
          </w:tcPr>
          <w:p>
            <w:r>
              <w:t xml:space="preserve">od płynięcia – demon nurtu, nie wody stojącej</w:t>
            </w:r>
          </w:p>
        </w:tc>
      </w:tr>
      <w:tr>
        <w:tc>
          <w:tcPr>
            <w:tcW w:w="4400" w:type="dxa"/>
          </w:tcPr>
          <w:p>
            <w:r>
              <w:t xml:space="preserve">wodnik, wodny człowiek, wodny diabeł</w:t>
            </w:r>
          </w:p>
        </w:tc>
        <w:tc>
          <w:tcPr>
            <w:tcW w:w="4400" w:type="dxa"/>
          </w:tcPr>
          <w:p>
            <w:r>
              <w:t xml:space="preserve">określenia ogólne, częste w zapisach Kolberga</w:t>
            </w:r>
          </w:p>
        </w:tc>
      </w:tr>
      <w:tr>
        <w:tc>
          <w:tcPr>
            <w:tcW w:w="4400" w:type="dxa"/>
          </w:tcPr>
          <w:p>
            <w:r>
              <w:t xml:space="preserve">topielica, wodnica, panna wodna</w:t>
            </w:r>
          </w:p>
        </w:tc>
        <w:tc>
          <w:tcPr>
            <w:tcW w:w="4400" w:type="dxa"/>
          </w:tcPr>
          <w:p>
            <w:r>
              <w:t xml:space="preserve">odpowiedniki żeńskie – bywały stare i szpetne albo młode, w koralach i zielonych wiankach</w:t>
            </w:r>
          </w:p>
        </w:tc>
      </w:tr>
      <w:tr>
        <w:tc>
          <w:tcPr>
            <w:tcW w:w="4400" w:type="dxa"/>
          </w:tcPr>
          <w:p>
            <w:r>
              <w:t xml:space="preserve">dziwożona</w:t>
            </w:r>
          </w:p>
        </w:tc>
        <w:tc>
          <w:tcPr>
            <w:tcW w:w="4400" w:type="dxa"/>
          </w:tcPr>
          <w:p>
            <w:r>
              <w:t xml:space="preserve">Podtatrze i Małopolska</w:t>
            </w:r>
          </w:p>
        </w:tc>
      </w:tr>
      <w:tr>
        <w:tc>
          <w:tcPr>
            <w:tcW w:w="4400" w:type="dxa"/>
          </w:tcPr>
          <w:p>
            <w:r>
              <w:t xml:space="preserve">mamuna, boginka</w:t>
            </w:r>
          </w:p>
        </w:tc>
        <w:tc>
          <w:tcPr>
            <w:tcW w:w="4400" w:type="dxa"/>
          </w:tcPr>
          <w:p>
            <w:r>
              <w:t xml:space="preserve">demon żeński porywający i podmieniający dzieci</w:t>
            </w:r>
          </w:p>
        </w:tc>
      </w:tr>
      <w:tr>
        <w:tc>
          <w:tcPr>
            <w:tcW w:w="4400" w:type="dxa"/>
          </w:tcPr>
          <w:p>
            <w:r>
              <w:t xml:space="preserve">morianka</w:t>
            </w:r>
          </w:p>
        </w:tc>
        <w:tc>
          <w:tcPr>
            <w:tcW w:w="4400" w:type="dxa"/>
          </w:tcPr>
          <w:p>
            <w:r>
              <w:t xml:space="preserve">Pomorze</w:t>
            </w:r>
          </w:p>
        </w:tc>
      </w:tr>
      <w:tr>
        <w:tc>
          <w:tcPr>
            <w:tcW w:w="4400" w:type="dxa"/>
          </w:tcPr>
          <w:p>
            <w:r>
              <w:t xml:space="preserve">kozytka</w:t>
            </w:r>
          </w:p>
        </w:tc>
        <w:tc>
          <w:tcPr>
            <w:tcW w:w="4400" w:type="dxa"/>
          </w:tcPr>
          <w:p>
            <w:r>
              <w:t xml:space="preserve">Podlasie – od łaskotania, sposobu, w jaki miała zabijać</w:t>
            </w:r>
          </w:p>
        </w:tc>
      </w:tr>
    </w:tbl>
    <w:p/>
    <w:p>
      <w:pPr>
        <w:pStyle w:val="Heading2"/>
      </w:pPr>
      <w:r>
        <w:t xml:space="preserve">Adresy</w:t>
      </w:r>
    </w:p>
    <w:p>
      <w:r>
        <w:t xml:space="preserve">Wierzenia były bardzo konkretne co do miejsca. Topielca umieszczano w wirach, w głębiach na zakrętach, przy ujściach, pod mostami, przy młyńskich spustach, w studniach i na mokradłach. Osobno wymieniano wodę ciemną i stojącą – uznawaną za siedzibę złego.</w:t>
      </w:r>
    </w:p>
    <w:p>
      <w:r>
        <w:t xml:space="preserve">Wszystkie te miejsca łączy jedna cecha, ważna dla ludowego sposobu myślenia: są graniczne. Bagno nie jest ani lądem, ani wodą. Most jest przejściem między brzegami. Studnia sięga pod ziemię, młyn stoi między lądem a wodą. Wyobraźnia ludowa umieszczała istoty nadprzyrodzone właśnie tam, gdzie kończył się jeden porządek, a zaczynał drugi.</w:t>
      </w:r>
    </w:p>
    <w:p>
      <w:r>
        <w:t xml:space="preserve">Przy studniach obowiązywał osobny zakaz, zapisany na Lubelszczyźnie w relacji Janiny Woch:</w:t>
      </w:r>
    </w:p>
    <w:p>
      <w:pPr>
        <w:pStyle w:val="Cytat"/>
      </w:pPr>
      <w:r>
        <w:t xml:space="preserve">„Jak się zaglunda, to się odbija, to cie topielec złapie”.</w:t>
      </w:r>
    </w:p>
    <w:p>
      <w:r>
        <w:t xml:space="preserve">Odbicie w wodzie to w tej wyobraźni nie obraz, tylko druga osoba po drugiej stronie. Zajrzeć do studni znaczyło pokazać się komuś, kto tam mieszka.</w:t>
      </w:r>
    </w:p>
    <w:p>
      <w:pPr>
        <w:pStyle w:val="Heading2"/>
      </w:pPr>
      <w:r>
        <w:t xml:space="preserve">Święty postawiony przy moście</w:t>
      </w:r>
    </w:p>
    <w:p>
      <w:r>
        <w:t xml:space="preserve">Kiedy przychodzi chrześcijaństwo, nie usuwa tej topografii – obsadza ją własną postacią. Od XVIII wieku po całej Polsce zaczynają stawać figury świętego Jana Nepomucena: patrona mostów, przepraw, tonących i chroniącego przed powodzią. Szacuje się, że jest ich w kraju ponad dwa i pół tysiąca.</w:t>
      </w:r>
    </w:p>
    <w:p>
      <w:r>
        <w:t xml:space="preserve">Stoją dokładnie tam, gdzie wcześniej mieszkał topielec. Przy mostach i brodach, nad rzekami i stawami, przy mokradłach, na rozstajach. W opowieściach o powstaniu wielu z nich powtarza się ten sam motyw: figurę przyniosła woda podczas powodzi.</w:t>
      </w:r>
    </w:p>
    <w:p>
      <w:r>
        <w:t xml:space="preserve">To jest chyba najlepiej widoczny ślad tej całej kultury. Nepomuk przy mostku nad strumieniem, którego dziś prawie nikt nie zauważa, jest pozostałością po świecie, w którym przejście przez wodę wymagało patrona.</w:t>
      </w:r>
    </w:p>
    <w:p>
      <w:pPr>
        <w:pStyle w:val="Heading2"/>
      </w:pPr>
      <w:r>
        <w:t xml:space="preserve">Rok nad wodą</w:t>
      </w:r>
    </w:p>
    <w:p>
      <w:r>
        <w:t xml:space="preserve">Woda miała swój kalendarz i był on gęsty. W Wielką Sobotę święcono wodę – wierzono, że nie zepsuje się przez rok; czasem dorzucano do niej węgielki z ogniska. W Wielkanoc gospodarz z gołą głową obchodził z kropidłem dom, oborę i pola. W lany poniedziałek kawalerowie polewali panny – pierwotnie z powodów płodnościowych, nie dla żartu.</w:t>
      </w:r>
    </w:p>
    <w:p>
      <w:r>
        <w:t xml:space="preserve">Pierwszą kąpiel niemowlęcia przygotowywano jak obrzęd: do wody wkładano pieniądze, wodę święconą, zioła, mleko, kłoski żyta i miód, a potem wylewano ją pod drzewko, żeby owocowało. W noc świętojańską panny puszczały wianki na wodę i patrzyły, czyj popłynie najdalej. Podczas burzy stawiano wodę święconą na oknie.</w:t>
      </w:r>
    </w:p>
    <w:p>
      <w:r>
        <w:t xml:space="preserve">Był też zakaz, na Lubelszczyźnie jednoznaczny: nie wchodzić do wody przed 24 czerwca.</w:t>
      </w:r>
    </w:p>
    <w:p>
      <w:pPr>
        <w:pStyle w:val="Cytat"/>
      </w:pPr>
      <w:r>
        <w:t xml:space="preserve">„Nie można się kąpać przed 24 czerwca, zanim święty Jan oświęci wode”.</w:t>
      </w:r>
    </w:p>
    <w:p>
      <w:r>
        <w:t xml:space="preserve">Kto go złamał, ryzykował spotkanie z demonem, który do tego dnia miał pełnię władzy nad rzeką. W relacjach wraca też obawa przed chorobą – że można „zachorować, paraliżu dostać".</w:t>
      </w:r>
    </w:p>
    <w:p>
      <w:r>
        <w:t xml:space="preserve">Święty Jan dzielił rok na wodzie na dwie części. Przed nim woda należała do sił, których lepiej nie prowokować; po nim była już poświęcona i wolno było w niej być.</w:t>
      </w:r>
    </w:p>
    <w:p>
      <w:pPr>
        <w:pStyle w:val="Heading2"/>
      </w:pPr>
      <w:r>
        <w:t xml:space="preserve">Świtezianka, czyli postać z importu</w:t>
      </w:r>
    </w:p>
    <w:p>
      <w:r>
        <w:t xml:space="preserve">Najbardziej znana polska zjawa wodna nie pochodzi z opowieści wiejskich, tylko z ballady z 1821 roku. Mickiewicz opatrzył Świteziankę przypisem: „Jest wieść, że na brzegach Świtezi pokazują się Ondiny, czyli Nimfy wodne, które gmin nazywa Świteziankami". Poeta powołuje się na lud, ale badacze literatury wskazują, że nazwa jest jego własna, a postać ma rodowód literacki, nie ludowy.</w:t>
      </w:r>
    </w:p>
    <w:p>
      <w:r>
        <w:t xml:space="preserve">Wzorem była ondyna, opisana w XVI wieku przez Paracelsusa w traktacie o nimfach, sylfach, pigmejach i salamandrach – a więc w tradycji alchemiczno-filozoficznej. Do polskiej wyobraźni trafiła przez niemiecki romantyzm: powieść Undine Friedricha de la Motte Fouqué z 1811 roku, wcześniej Die Saal-Nixe Vulpiusa i sztukę Das Donauweibchen Henslera.</w:t>
      </w:r>
    </w:p>
    <w:p>
      <w:r>
        <w:t xml:space="preserve">Świtezianka jest więc europejską ondyną przeniesioną nad jezioro pod Nowogródkiem i nazwaną od niego. Warto to wiedzieć nie po to, żeby balladzie ująć, tylko żeby widzieć różnicę między zapisem wierzeń a literaturą, która wierzenia wytworzyła. Bo wytworzyła skutecznie: dziś świtezianka jest w powszechnej pamięci bardziej „ludowa" niż topielica.</w:t>
      </w:r>
    </w:p>
    <w:p>
      <w:pPr>
        <w:pStyle w:val="Heading2"/>
      </w:pPr>
      <w:r>
        <w:t xml:space="preserve">Rusałka, czyli gość ze wschodu</w:t>
      </w:r>
    </w:p>
    <w:p>
      <w:r>
        <w:t xml:space="preserve">To postać wschodniosłowiańska – białoruska, ukraińska, rosyjska. Kolberg opisywał je na Polesiu jako istoty o czarnych oczach i długich włosach, mieszkające w gajach, kołyszące się na gałęziach i wołające do przechodniów, żeby przyszli się huśtać. Zabijały łaskotaniem.</w:t>
      </w:r>
    </w:p>
    <w:p>
      <w:r>
        <w:t xml:space="preserve">W literaturze przedmiotu ustalenie jest jednoznaczne: w Polsce nazwa „rusałka" nie była używana poza terenami wschodnimi, a rolę, którą na Rusi pełniły rusałki, u nas odgrywały topielice i wiły. Samo słowo prowadzi zresztą nie do wody, lecz do rusaliów – antycznego święta róż, przyswojonego przez Słowian najpewniej drogą cerkiewną. Aleksander Gieysztor przyznawał, że czas i droga tego zapożyczenia pozostają zagadką.</w:t>
      </w:r>
    </w:p>
    <w:p>
      <w:r>
        <w:t xml:space="preserve">Spór o pochodzenie rusałek ciągnął się wśród badaczy dziesięciolecia. Zielenin, Łowmiański i Moszyński widzieli w nich dusze dziewcząt zmarłych przedwcześnie. Brückner to odrzucał, zwracając uwagę, że wśród rusałek nie ma mężczyzn zmarłych taką samą śmiercią, a wszystkie są młode, piękne i w jednym wieku.</w:t>
      </w:r>
    </w:p>
    <w:p>
      <w:pPr>
        <w:pStyle w:val="Heading2"/>
      </w:pPr>
      <w:r>
        <w:t xml:space="preserve">Dlaczego to zniknęło</w:t>
      </w:r>
    </w:p>
    <w:p>
      <w:r>
        <w:t xml:space="preserve">W 1965 roku Bohdan Baranowski przewidywał, że „w stosunkowo niedługim czasie pożegnamy się na zawsze" z importowanym z zachodu diabłem i czarownicą, a jeszcze wcześniej z „groźnymi ongiś bękartami prasłowiańskich demonów, owymi topielcami, strzygami, zmorami, nocznicami, mamunami, przypołudnicami". Co do kierunku miał rację, choć pomylił kolejność – topielec trzymał się dłużej niż diabeł.</w:t>
      </w:r>
    </w:p>
    <w:p>
      <w:r>
        <w:t xml:space="preserve">Odszedł nie dlatego, że przestano wierzyć, tylko dlatego, że zmienił się sposób korzystania z wody. Ubyło młynów. Przestano prać w rzece i poić w niej bydło. Kąpiel przeniosła się na strzeżone kąpieliska, a nad wodę zaczęto jeździć w celach wypoczynkowych, turystycznych czy sportowych. Opowieść o topielcu była częścią lokalnej pamięci. Należała do ludzi, którzy znali swoją rzekę zakręt po zakręcie i pamiętali, gdzie utonął czyjś ojciec, brat albo sąsiad. Gdy ta pamięć zaczęła zanikać, topielec przestał być częścią codziennego świata.</w:t>
      </w:r>
    </w:p>
    <w:p>
      <w:r>
        <w:t xml:space="preserve">Została po nim garść nazw w słownikach gwarowych, kilka tysięcy figur świętego Jana Nepomucena przy mostach i ballada o postaci, której nad żadną polską wodą nigdy nie było.</w:t>
      </w:r>
    </w:p>
    <w:p>
      <w:pPr>
        <w:pStyle w:val="Heading2"/>
      </w:pPr>
      <w:r>
        <w:t xml:space="preserve">Skąd to wiemy</w:t>
      </w:r>
    </w:p>
    <w:p>
      <w:pPr>
        <w:pStyle w:val="Heading2"/>
      </w:pPr>
      <w:r>
        <w:t xml:space="preserve">Źródła</w:t>
      </w:r>
    </w:p>
    <w:p>
      <w:pPr>
        <w:pStyle w:val="ListParagraph"/>
        <w:numPr>
          <w:ilvl w:val="0"/>
          <w:numId w:val="1"/>
        </w:numPr>
      </w:pPr>
      <w:r>
        <w:t xml:space="preserve">Słownik polskiej bajki ludowej pod redakcją Violetty Wróblewskiej (UMK) – hasło „Topielec" autorstwa Adriana Mianeckiego: geneza postaci, wygląd, siedziby, nazwy regionalne, zasięg wierzeń.</w:t>
      </w:r>
    </w:p>
    <w:p>
      <w:pPr>
        <w:pStyle w:val="ListParagraph"/>
        <w:numPr>
          <w:ilvl w:val="0"/>
          <w:numId w:val="1"/>
        </w:numPr>
      </w:pPr>
      <w:r>
        <w:t xml:space="preserve">Anna Woźniak, „Żeńskie istoty mityczne w folklorze polskim i białoruskim", Roczniki Humanistyczne KUL 50 (2002) – zasięg rusałek, polskie odpowiedniki, spór o ich pochodzenie, zasada parzystości demonów.</w:t>
      </w:r>
    </w:p>
    <w:p>
      <w:pPr>
        <w:pStyle w:val="ListParagraph"/>
        <w:numPr>
          <w:ilvl w:val="0"/>
          <w:numId w:val="1"/>
        </w:numPr>
      </w:pPr>
      <w:r>
        <w:t xml:space="preserve">Michał Fijałkowski, „Rusałki – słowiańskie ondyny", Acta Philologica 45 (2014) – przypis Mickiewicza, związek świtezianki z ondyną Paracelsusa i literaturą niemieckiego romantyzmu.</w:t>
      </w:r>
    </w:p>
    <w:p>
      <w:pPr>
        <w:pStyle w:val="ListParagraph"/>
        <w:numPr>
          <w:ilvl w:val="0"/>
          <w:numId w:val="1"/>
        </w:numPr>
      </w:pPr>
      <w:r>
        <w:t xml:space="preserve">Magdalena Wójtowicz, „Etnografia Lubelszczyzny – ludowe wierzenia o wodzie", Leksykon Lubelszczyzny, Ośrodek „Brama Grodzka – Teatr NN" – relacje świadków z Wólki Kątnej (Janina Woch 2009, Elżbieta Wójtowicz 2010): zakaz kąpieli przed świętym Janem, wierzenia o studniach i bagnach, obrzędy wodne roku kościelnego.</w:t>
      </w:r>
    </w:p>
    <w:p>
      <w:pPr>
        <w:pStyle w:val="ListParagraph"/>
        <w:numPr>
          <w:ilvl w:val="0"/>
          <w:numId w:val="1"/>
        </w:numPr>
      </w:pPr>
      <w:r>
        <w:t xml:space="preserve">Klasyka przedmiotu przywoływana w tych opracowaniach: Oskar Kolberg, Kazimierz Moszyński, Aleksander Brückner, Bohdan Baranowski, Leonard Pełka („Polska demonologia ludowa", 1987).</w:t>
      </w:r>
    </w:p>
    <w:p>
      <w:pPr>
        <w:pStyle w:val="ListParagraph"/>
        <w:numPr>
          <w:ilvl w:val="0"/>
          <w:numId w:val="1"/>
        </w:numPr>
      </w:pPr>
      <w:r>
        <w:t xml:space="preserve">IMGW-PIB, archiwum dobowych danych hydrologicznych – temperatura wody w czerwcu, obliczenia własne.</w:t>
      </w:r>
    </w:p>
    <w:p>
      <w:pPr>
        <w:pStyle w:val="Heading2"/>
      </w:pPr>
      <w:r>
        <w:t xml:space="preserve">Zastrzeżenia</w:t>
      </w:r>
    </w:p>
    <w:p>
      <w:pPr>
        <w:pStyle w:val="ListParagraph"/>
        <w:numPr>
          <w:ilvl w:val="0"/>
          <w:numId w:val="1"/>
        </w:numPr>
      </w:pPr>
      <w:r>
        <w:t xml:space="preserve">Wierzenia ludowe nie tworzyły systemu. Ta sama postać w sąsiednich wsiach miewała inne imię, wygląd i zwyczaje, a zapisy pochodzą z różnych dekad i regionów. Każde zdanie o „polskim folklorze" jako całości jest uproszczeniem.</w:t>
      </w:r>
    </w:p>
    <w:p>
      <w:pPr>
        <w:pStyle w:val="ListParagraph"/>
        <w:numPr>
          <w:ilvl w:val="0"/>
          <w:numId w:val="1"/>
        </w:numPr>
      </w:pPr>
      <w:r>
        <w:t xml:space="preserve">Relacje o zakazie kąpieli i o studniach pochodzą z Lubelszczyzny i nie muszą opisywać praktyki w innych częściach kraju. Data świętego Jana wracała w wielu regionach, ale uzasadnienia bywały różne.</w:t>
      </w:r>
    </w:p>
    <w:p>
      <w:pPr>
        <w:pStyle w:val="ListParagraph"/>
        <w:numPr>
          <w:ilvl w:val="0"/>
          <w:numId w:val="1"/>
        </w:numPr>
      </w:pPr>
      <w:r>
        <w:t xml:space="preserve">Liczba figur świętego Jana Nepomucena w Polsce podawana jest szacunkowo; nie istnieje pełny, urzędowy rejestr.</w:t>
      </w:r>
    </w:p>
    <w:p>
      <w:pPr>
        <w:pStyle w:val="ListParagraph"/>
        <w:numPr>
          <w:ilvl w:val="0"/>
          <w:numId w:val="1"/>
        </w:numPr>
      </w:pPr>
      <w:r>
        <w:t xml:space="preserve">Znaczna część treści krążących dziś jako „mitologia słowiańska" pochodzi z dziewiętnastowiecznych rekonstrukcji, a bywa i z późniejszych fantazji. Trzymamy się tu ustaleń opartych na źródłach etnograficznych i opracowaniach naukowych; tam, gdzie postać jest tworem literackim, jest to powiedziane wprost.</w:t>
      </w:r>
    </w:p>
    <w:p>
      <w:pPr>
        <w:pStyle w:val="ListParagraph"/>
        <w:numPr>
          <w:ilvl w:val="0"/>
          <w:numId w:val="1"/>
        </w:numPr>
      </w:pPr>
      <w:r>
        <w:t xml:space="preserve">Zestawienie kalendarza obrzędowego z danymi o temperaturze wody jest ciekawostką na marginesie, a nie próbą wykazania prawdziwości wierzeń. Powstawały one w innym porządku myślenia.</w:t>
      </w:r>
    </w:p>
    <w:p>
      <w:pPr>
        <w:pStyle w:val="Heading2"/>
      </w:pPr>
      <w:r>
        <w:t xml:space="preserve">Materiały do pobrania</w:t>
      </w:r>
    </w:p>
    <w:p>
      <w:r>
        <w:t xml:space="preserve">Zdjęcia, wykres w PNG z przezroczystym tłem i dane w CSV: stanwody.org, materiał „Kto mieszkał w polskich rzekach”. Każdy plik ma podpis z autorem i licencją.</w:t>
      </w:r>
    </w:p>
    <w:p>
      <w:pPr>
        <w:pStyle w:val="Heading2"/>
      </w:pPr>
      <w:r>
        <w:t xml:space="preserve">Kontakt dla mediów</w:t>
      </w:r>
    </w:p>
    <w:p>
      <w:r>
        <w:t xml:space="preserve">Karol Kwiatkowski, twórca projektu Stan Wody, czesc@stanwody.org. Materiały i dane do wszystkich opracowań udostępniamy redakcjom na życzenie.</w:t>
      </w:r>
    </w:p>
    <w:sectPr>
      <w:pgSz w:w="11906" w:h="16838"/>
      <w:pgMar w:top="1418" w:right="1418" w:bottom="1418" w:left="1418"/>
    </w:sectPr>
  </w:body>
</w:document>
</file>

<file path=word/numbering.xml><?xml version="1.0" encoding="utf-8"?>
<w:numbering xmlns:w="http://schemas.openxmlformats.org/wordprocessingml/2006/main">
  <w:abstractNum w:abstractNumId="0">
    <w:lvl w:ilvl="0">
      <w:numFmt w:val="bullet"/>
      <w:lvlText w:val="•"/>
      <w:pPr>
        <w:ind w:left="720" w:hanging="360"/>
      </w:pPr>
    </w:lvl>
  </w:abstractNum>
  <w:num w:numId="1">
    <w:abstractNumId w:val="0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cs="Calibri" w:eastAsia="Calibri"/>
        <w:b w:val="0"/>
        <w:i w:val="0"/>
        <w:sz w:val="22"/>
        <w:szCs w:val="22"/>
        <w:color w:val="1A1A1A"/>
      </w:rPr>
    </w:rPrDefault>
    <w:pPrDefault>
      <w:pPr>
        <w:spacing w:after="180" w:line="276" w:lineRule="auto"/>
      </w:pPr>
    </w:pPrDefault>
  </w:docDefaults>
  <w:style w:type="paragraph" w:default="1" w:styleId="Normal">
    <w:name w:val="Normal"/>
    <w:qFormat/>
    <w:pPr>
      <w:spacing w:after="180" w:line="276" w:lineRule="auto"/>
    </w:pPr>
    <w:rPr>
      <w:rFonts w:ascii="Calibri" w:hAnsi="Calibri" w:cs="Calibri" w:eastAsia="Calibri"/>
      <w:b w:val="0"/>
      <w:sz w:val="22"/>
      <w:color w:val="1A1A1A"/>
    </w:rPr>
  </w:style>
  <w:style w:type="paragraph" w:styleId="Data">
    <w:name w:val="Data"/>
    <w:basedOn w:val="Normal"/>
    <w:pPr>
      <w:spacing w:after="260"/>
    </w:pPr>
    <w:rPr>
      <w:rFonts w:ascii="Calibri" w:hAnsi="Calibri" w:cs="Calibri" w:eastAsia="Calibri"/>
      <w:b w:val="0"/>
      <w:caps/>
      <w:sz w:val="17"/>
      <w:color w:val="6B6355"/>
    </w:rPr>
  </w:style>
  <w:style w:type="paragraph" w:styleId="Heading1">
    <w:name w:val="heading 1"/>
    <w:basedOn w:val="Normal"/>
    <w:qFormat/>
    <w:pPr>
      <w:spacing w:before="0" w:after="220"/>
      <w:outlineLvl w:val="0"/>
    </w:pPr>
    <w:rPr>
      <w:rFonts w:ascii="Calibri" w:hAnsi="Calibri" w:cs="Calibri" w:eastAsia="Calibri"/>
      <w:b/>
      <w:sz w:val="34"/>
      <w:color w:val="12263A"/>
    </w:rPr>
  </w:style>
  <w:style w:type="paragraph" w:styleId="Lead">
    <w:name w:val="Lead"/>
    <w:basedOn w:val="Normal"/>
    <w:pPr>
      <w:spacing w:after="300"/>
    </w:pPr>
    <w:rPr>
      <w:rFonts w:ascii="Calibri" w:hAnsi="Calibri" w:cs="Calibri" w:eastAsia="Calibri"/>
      <w:b w:val="0"/>
      <w:sz w:val="25"/>
      <w:color w:val="3A4A55"/>
    </w:rPr>
  </w:style>
  <w:style w:type="paragraph" w:styleId="Heading2">
    <w:name w:val="heading 2"/>
    <w:basedOn w:val="Normal"/>
    <w:qFormat/>
    <w:pPr>
      <w:spacing w:before="400" w:after="150"/>
      <w:outlineLvl w:val="1"/>
    </w:pPr>
    <w:rPr>
      <w:rFonts w:ascii="Calibri" w:hAnsi="Calibri" w:cs="Calibri" w:eastAsia="Calibri"/>
      <w:b/>
      <w:sz w:val="25"/>
      <w:color w:val="165A72"/>
    </w:rPr>
  </w:style>
  <w:style w:type="paragraph" w:styleId="Cytat">
    <w:name w:val="Cytat"/>
    <w:basedOn w:val="Normal"/>
    <w:pPr>
      <w:ind w:left="454"/>
      <w:spacing w:before="220" w:after="110"/>
    </w:pPr>
    <w:rPr>
      <w:rFonts w:ascii="Calibri" w:hAnsi="Calibri" w:cs="Calibri" w:eastAsia="Calibri"/>
      <w:b w:val="0"/>
      <w:i/>
    </w:rPr>
  </w:style>
  <w:style w:type="paragraph" w:styleId="Podpis">
    <w:name w:val="Podpis"/>
    <w:basedOn w:val="Normal"/>
    <w:pPr>
      <w:ind w:left="454"/>
      <w:spacing w:after="280"/>
    </w:pPr>
    <w:rPr>
      <w:rFonts w:ascii="Calibri" w:hAnsi="Calibri" w:cs="Calibri" w:eastAsia="Calibri"/>
      <w:b w:val="0"/>
      <w:sz w:val="19"/>
      <w:color w:val="6B6355"/>
    </w:rPr>
  </w:style>
  <w:style w:type="paragraph" w:styleId="ListParagraph">
    <w:name w:val="List Paragraph"/>
    <w:basedOn w:val="Normal"/>
    <w:qFormat/>
    <w:pPr>
      <w:spacing w:after="100"/>
      <w:contextualSpacing/>
    </w:p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/Relationships>
</file>